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ACF110C" w:rsidR="00D6147A" w:rsidRDefault="00A37DFF" w:rsidP="00A37DFF">
      <w:hyperlink r:id="rId6" w:history="1">
        <w:r w:rsidRPr="004D3AC9">
          <w:rPr>
            <w:rStyle w:val="Collegamentoipertestuale"/>
          </w:rPr>
          <w:t>https://www.borsaitaliana.it/borsa/notizie/radiocor/economia/dettaglio/assiom-forex-gilli-ue-deve-investire-su-tecnologia-serve-debito-comune-nRC_15022025_1532_370661471.html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38E2"/>
    <w:rsid w:val="003D49A6"/>
    <w:rsid w:val="003D5095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economia/dettaglio/assiom-forex-gilli-ue-deve-investire-su-tecnologia-serve-debito-comune-nRC_15022025_1532_37066147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2025-02-19T11:56:00Z</dcterms:created>
  <dcterms:modified xsi:type="dcterms:W3CDTF">2025-02-19T11:56:00Z</dcterms:modified>
</cp:coreProperties>
</file>